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10461" w:type="dxa"/>
        <w:tblInd w:w="-856" w:type="dxa"/>
        <w:tblLook w:val="04A0" w:firstRow="1" w:lastRow="0" w:firstColumn="1" w:lastColumn="0" w:noHBand="0" w:noVBand="1"/>
      </w:tblPr>
      <w:tblGrid>
        <w:gridCol w:w="567"/>
        <w:gridCol w:w="2552"/>
        <w:gridCol w:w="2892"/>
        <w:gridCol w:w="2778"/>
        <w:gridCol w:w="1660"/>
        <w:gridCol w:w="12"/>
      </w:tblGrid>
      <w:tr w:rsidR="001B4BA0" w:rsidRPr="001B4BA0" w14:paraId="542658D3" w14:textId="77777777" w:rsidTr="00EA63FA">
        <w:trPr>
          <w:trHeight w:val="360"/>
        </w:trPr>
        <w:tc>
          <w:tcPr>
            <w:tcW w:w="10461" w:type="dxa"/>
            <w:gridSpan w:val="6"/>
            <w:noWrap/>
            <w:hideMark/>
          </w:tcPr>
          <w:p w14:paraId="75E10268" w14:textId="0F68E1CD" w:rsidR="001B4BA0" w:rsidRPr="001B4BA0" w:rsidRDefault="001B4BA0" w:rsidP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Форма 13. Охват показателей по действующим ТР ТС/ЕАЭС в соответствии с аккредитованной областью ООС*</w:t>
            </w:r>
          </w:p>
        </w:tc>
      </w:tr>
      <w:tr w:rsidR="001B4BA0" w:rsidRPr="001B4BA0" w14:paraId="1E7214B4" w14:textId="77777777" w:rsidTr="00EA63FA">
        <w:trPr>
          <w:trHeight w:val="300"/>
        </w:trPr>
        <w:tc>
          <w:tcPr>
            <w:tcW w:w="10461" w:type="dxa"/>
            <w:gridSpan w:val="6"/>
            <w:noWrap/>
            <w:hideMark/>
          </w:tcPr>
          <w:p w14:paraId="5E2A7908" w14:textId="5A88F667" w:rsidR="001B4BA0" w:rsidRPr="001B4BA0" w:rsidRDefault="001B4BA0" w:rsidP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</w:tr>
      <w:tr w:rsidR="001B4BA0" w:rsidRPr="001B4BA0" w14:paraId="7463B4DD" w14:textId="77777777" w:rsidTr="00EA63FA">
        <w:trPr>
          <w:gridAfter w:val="1"/>
          <w:wAfter w:w="12" w:type="dxa"/>
          <w:trHeight w:val="1238"/>
        </w:trPr>
        <w:tc>
          <w:tcPr>
            <w:tcW w:w="567" w:type="dxa"/>
            <w:noWrap/>
            <w:hideMark/>
          </w:tcPr>
          <w:p w14:paraId="19910D57" w14:textId="77777777" w:rsidR="001B4BA0" w:rsidRPr="001B4BA0" w:rsidRDefault="001B4BA0" w:rsidP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552" w:type="dxa"/>
            <w:hideMark/>
          </w:tcPr>
          <w:p w14:paraId="6CB9952D" w14:textId="77777777" w:rsidR="001B4BA0" w:rsidRPr="001B4BA0" w:rsidRDefault="001B4BA0" w:rsidP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Наименование и обозначение Технических регламентов ТС/ЕАЭС</w:t>
            </w:r>
          </w:p>
        </w:tc>
        <w:tc>
          <w:tcPr>
            <w:tcW w:w="2892" w:type="dxa"/>
            <w:hideMark/>
          </w:tcPr>
          <w:p w14:paraId="269CBFA2" w14:textId="4F5BDF77" w:rsidR="001B4BA0" w:rsidRPr="001B4BA0" w:rsidRDefault="001B4BA0" w:rsidP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Наименование параметров, согласно ТР ТС/ЕАЭС</w:t>
            </w:r>
          </w:p>
        </w:tc>
        <w:tc>
          <w:tcPr>
            <w:tcW w:w="2778" w:type="dxa"/>
            <w:hideMark/>
          </w:tcPr>
          <w:p w14:paraId="66706D0F" w14:textId="77777777" w:rsidR="001B4BA0" w:rsidRPr="001B4BA0" w:rsidRDefault="001B4BA0" w:rsidP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Параметры, по которым ООС могут проводить испытания</w:t>
            </w:r>
          </w:p>
        </w:tc>
        <w:tc>
          <w:tcPr>
            <w:tcW w:w="1660" w:type="dxa"/>
            <w:hideMark/>
          </w:tcPr>
          <w:p w14:paraId="0214D608" w14:textId="77777777" w:rsidR="001B4BA0" w:rsidRPr="001B4BA0" w:rsidRDefault="001B4BA0" w:rsidP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Охват показателей ТС/ЕАЭС в процентном соотношении</w:t>
            </w:r>
          </w:p>
        </w:tc>
      </w:tr>
      <w:tr w:rsidR="001B4BA0" w:rsidRPr="001B4BA0" w14:paraId="3D5FF573" w14:textId="77777777" w:rsidTr="00EA63FA">
        <w:trPr>
          <w:gridAfter w:val="1"/>
          <w:wAfter w:w="12" w:type="dxa"/>
          <w:trHeight w:val="300"/>
        </w:trPr>
        <w:tc>
          <w:tcPr>
            <w:tcW w:w="567" w:type="dxa"/>
            <w:noWrap/>
            <w:hideMark/>
          </w:tcPr>
          <w:p w14:paraId="301E78D3" w14:textId="77777777" w:rsidR="001B4BA0" w:rsidRPr="001B4BA0" w:rsidRDefault="001B4BA0" w:rsidP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52" w:type="dxa"/>
            <w:noWrap/>
            <w:hideMark/>
          </w:tcPr>
          <w:p w14:paraId="1C0E0ED8" w14:textId="77777777" w:rsidR="001B4BA0" w:rsidRPr="001B4BA0" w:rsidRDefault="001B4BA0" w:rsidP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92" w:type="dxa"/>
            <w:noWrap/>
            <w:hideMark/>
          </w:tcPr>
          <w:p w14:paraId="625C464A" w14:textId="77777777" w:rsidR="001B4BA0" w:rsidRPr="001B4BA0" w:rsidRDefault="001B4BA0" w:rsidP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778" w:type="dxa"/>
            <w:noWrap/>
            <w:hideMark/>
          </w:tcPr>
          <w:p w14:paraId="09016C36" w14:textId="77777777" w:rsidR="001B4BA0" w:rsidRPr="001B4BA0" w:rsidRDefault="001B4BA0" w:rsidP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60" w:type="dxa"/>
            <w:noWrap/>
            <w:hideMark/>
          </w:tcPr>
          <w:p w14:paraId="16A1199A" w14:textId="77777777" w:rsidR="001B4BA0" w:rsidRPr="001B4BA0" w:rsidRDefault="001B4BA0" w:rsidP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1B4BA0" w:rsidRPr="001B4BA0" w14:paraId="3678E241" w14:textId="77777777" w:rsidTr="00EA63FA">
        <w:trPr>
          <w:gridAfter w:val="1"/>
          <w:wAfter w:w="12" w:type="dxa"/>
          <w:trHeight w:val="420"/>
        </w:trPr>
        <w:tc>
          <w:tcPr>
            <w:tcW w:w="567" w:type="dxa"/>
            <w:vMerge w:val="restart"/>
            <w:noWrap/>
            <w:hideMark/>
          </w:tcPr>
          <w:p w14:paraId="255801B7" w14:textId="77777777" w:rsidR="001B4BA0" w:rsidRPr="001B4BA0" w:rsidRDefault="001B4BA0" w:rsidP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Merge w:val="restart"/>
            <w:hideMark/>
          </w:tcPr>
          <w:p w14:paraId="3C468127" w14:textId="77777777" w:rsidR="001B4BA0" w:rsidRPr="001B4BA0" w:rsidRDefault="001B4BA0" w:rsidP="001B4BA0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Технический регламент Таможенного союза ТР ТС 009/2011</w:t>
            </w:r>
            <w:r w:rsidRPr="001B4BA0">
              <w:rPr>
                <w:rFonts w:ascii="Times New Roman" w:hAnsi="Times New Roman" w:cs="Times New Roman"/>
                <w:b/>
                <w:bCs/>
              </w:rPr>
              <w:br/>
              <w:t xml:space="preserve"> “О безопасности парфюмерно-косметической продукции”</w:t>
            </w:r>
            <w:r w:rsidRPr="001B4BA0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2892" w:type="dxa"/>
            <w:hideMark/>
          </w:tcPr>
          <w:p w14:paraId="77D58D6E" w14:textId="6E5566C9" w:rsidR="001B4BA0" w:rsidRPr="001B4BA0" w:rsidRDefault="001B4BA0" w:rsidP="001B4BA0">
            <w:pPr>
              <w:spacing w:after="16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Физик-химические показатели безопасности</w:t>
            </w:r>
          </w:p>
        </w:tc>
        <w:tc>
          <w:tcPr>
            <w:tcW w:w="2778" w:type="dxa"/>
            <w:noWrap/>
            <w:hideMark/>
          </w:tcPr>
          <w:p w14:paraId="569FB41D" w14:textId="77777777" w:rsidR="001B4BA0" w:rsidRPr="001B4BA0" w:rsidRDefault="001B4BA0" w:rsidP="001B4BA0">
            <w:pPr>
              <w:spacing w:after="160"/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7CD9FD1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</w:tr>
      <w:tr w:rsidR="001B4BA0" w:rsidRPr="001B4BA0" w14:paraId="1F32A97C" w14:textId="77777777" w:rsidTr="00EA63FA">
        <w:trPr>
          <w:gridAfter w:val="1"/>
          <w:wAfter w:w="12" w:type="dxa"/>
          <w:trHeight w:val="330"/>
        </w:trPr>
        <w:tc>
          <w:tcPr>
            <w:tcW w:w="567" w:type="dxa"/>
            <w:vMerge/>
            <w:hideMark/>
          </w:tcPr>
          <w:p w14:paraId="568C9C79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6B5BA505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35D6B391" w14:textId="5DABD538" w:rsidR="001B4BA0" w:rsidRPr="001B4BA0" w:rsidRDefault="001B4BA0">
            <w:pPr>
              <w:rPr>
                <w:rFonts w:ascii="Times New Roman" w:hAnsi="Times New Roman" w:cs="Times New Roman"/>
                <w:lang w:val="ru-RU"/>
              </w:rPr>
            </w:pPr>
            <w:r w:rsidRPr="001B4BA0">
              <w:rPr>
                <w:rFonts w:ascii="Times New Roman" w:hAnsi="Times New Roman" w:cs="Times New Roman"/>
              </w:rPr>
              <w:t>1. Фторид</w:t>
            </w:r>
          </w:p>
        </w:tc>
        <w:tc>
          <w:tcPr>
            <w:tcW w:w="2778" w:type="dxa"/>
            <w:noWrap/>
            <w:hideMark/>
          </w:tcPr>
          <w:p w14:paraId="08B39A2B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D2E2AF3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1791AD65" w14:textId="77777777" w:rsidTr="00EA63FA">
        <w:trPr>
          <w:gridAfter w:val="1"/>
          <w:wAfter w:w="12" w:type="dxa"/>
          <w:trHeight w:val="315"/>
        </w:trPr>
        <w:tc>
          <w:tcPr>
            <w:tcW w:w="567" w:type="dxa"/>
            <w:vMerge/>
            <w:hideMark/>
          </w:tcPr>
          <w:p w14:paraId="759CC19A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19BC1CB2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60A593EE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2. Водородный показатель</w:t>
            </w:r>
          </w:p>
        </w:tc>
        <w:tc>
          <w:tcPr>
            <w:tcW w:w="2778" w:type="dxa"/>
            <w:noWrap/>
            <w:hideMark/>
          </w:tcPr>
          <w:p w14:paraId="4B29054D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FBD2DC4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600033B2" w14:textId="77777777" w:rsidTr="00EA63FA">
        <w:trPr>
          <w:gridAfter w:val="1"/>
          <w:wAfter w:w="12" w:type="dxa"/>
          <w:trHeight w:val="315"/>
        </w:trPr>
        <w:tc>
          <w:tcPr>
            <w:tcW w:w="567" w:type="dxa"/>
            <w:vMerge/>
            <w:hideMark/>
          </w:tcPr>
          <w:p w14:paraId="4AB5B277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378C509A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1CFD07D4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Токсикологические показатели безопасности:</w:t>
            </w:r>
          </w:p>
        </w:tc>
        <w:tc>
          <w:tcPr>
            <w:tcW w:w="2778" w:type="dxa"/>
            <w:noWrap/>
            <w:hideMark/>
          </w:tcPr>
          <w:p w14:paraId="3222085D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EA7A20A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0F36A777" w14:textId="77777777" w:rsidTr="00EA63FA">
        <w:trPr>
          <w:gridAfter w:val="1"/>
          <w:wAfter w:w="12" w:type="dxa"/>
          <w:trHeight w:val="360"/>
        </w:trPr>
        <w:tc>
          <w:tcPr>
            <w:tcW w:w="567" w:type="dxa"/>
            <w:vMerge/>
            <w:hideMark/>
          </w:tcPr>
          <w:p w14:paraId="02CC1A3F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6B17898C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0104B594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3. Мышьяк</w:t>
            </w:r>
          </w:p>
        </w:tc>
        <w:tc>
          <w:tcPr>
            <w:tcW w:w="2778" w:type="dxa"/>
            <w:noWrap/>
            <w:hideMark/>
          </w:tcPr>
          <w:p w14:paraId="2CB6A098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753BB90A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30E7F9EF" w14:textId="77777777" w:rsidTr="00EA63FA">
        <w:trPr>
          <w:gridAfter w:val="1"/>
          <w:wAfter w:w="12" w:type="dxa"/>
          <w:trHeight w:val="375"/>
        </w:trPr>
        <w:tc>
          <w:tcPr>
            <w:tcW w:w="567" w:type="dxa"/>
            <w:vMerge/>
            <w:hideMark/>
          </w:tcPr>
          <w:p w14:paraId="3EC32E9D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60E00138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0C9BA66D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4. Свинец</w:t>
            </w:r>
          </w:p>
        </w:tc>
        <w:tc>
          <w:tcPr>
            <w:tcW w:w="2778" w:type="dxa"/>
            <w:hideMark/>
          </w:tcPr>
          <w:p w14:paraId="4A4C5859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DE62360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531857C0" w14:textId="77777777" w:rsidTr="00EA63FA">
        <w:trPr>
          <w:gridAfter w:val="1"/>
          <w:wAfter w:w="12" w:type="dxa"/>
          <w:trHeight w:val="279"/>
        </w:trPr>
        <w:tc>
          <w:tcPr>
            <w:tcW w:w="567" w:type="dxa"/>
            <w:vMerge/>
            <w:hideMark/>
          </w:tcPr>
          <w:p w14:paraId="4E6C1A91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2444173A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633BCAC9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 xml:space="preserve">5. Ртуть </w:t>
            </w:r>
          </w:p>
        </w:tc>
        <w:tc>
          <w:tcPr>
            <w:tcW w:w="2778" w:type="dxa"/>
            <w:hideMark/>
          </w:tcPr>
          <w:p w14:paraId="07DF5C23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EDE5966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2ED3CB59" w14:textId="77777777" w:rsidTr="00EA63FA">
        <w:trPr>
          <w:gridAfter w:val="1"/>
          <w:wAfter w:w="12" w:type="dxa"/>
          <w:trHeight w:val="345"/>
        </w:trPr>
        <w:tc>
          <w:tcPr>
            <w:tcW w:w="567" w:type="dxa"/>
            <w:vMerge/>
            <w:hideMark/>
          </w:tcPr>
          <w:p w14:paraId="67EB3558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456A4D95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1A2F1417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 xml:space="preserve">6.Кожно-раздражающее действи; </w:t>
            </w:r>
          </w:p>
        </w:tc>
        <w:tc>
          <w:tcPr>
            <w:tcW w:w="2778" w:type="dxa"/>
            <w:hideMark/>
          </w:tcPr>
          <w:p w14:paraId="1B226A5C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2570126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36D8BDDC" w14:textId="77777777" w:rsidTr="00EA63FA">
        <w:trPr>
          <w:gridAfter w:val="1"/>
          <w:wAfter w:w="12" w:type="dxa"/>
          <w:trHeight w:val="345"/>
        </w:trPr>
        <w:tc>
          <w:tcPr>
            <w:tcW w:w="567" w:type="dxa"/>
            <w:vMerge/>
            <w:hideMark/>
          </w:tcPr>
          <w:p w14:paraId="0E2CE62F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6B874C2C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40822F8B" w14:textId="13B69E53" w:rsidR="001B4BA0" w:rsidRPr="001B4BA0" w:rsidRDefault="001B4BA0">
            <w:pPr>
              <w:rPr>
                <w:rFonts w:ascii="Times New Roman" w:hAnsi="Times New Roman" w:cs="Times New Roman"/>
                <w:lang w:val="ru-RU"/>
              </w:rPr>
            </w:pPr>
            <w:r w:rsidRPr="001B4BA0">
              <w:rPr>
                <w:rFonts w:ascii="Times New Roman" w:hAnsi="Times New Roman" w:cs="Times New Roman"/>
              </w:rPr>
              <w:t>7. Действие на слизистые</w:t>
            </w:r>
          </w:p>
        </w:tc>
        <w:tc>
          <w:tcPr>
            <w:tcW w:w="2778" w:type="dxa"/>
            <w:hideMark/>
          </w:tcPr>
          <w:p w14:paraId="5D66AF33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75C3136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77DFB06F" w14:textId="77777777" w:rsidTr="00EA63FA">
        <w:trPr>
          <w:gridAfter w:val="1"/>
          <w:wAfter w:w="12" w:type="dxa"/>
          <w:trHeight w:val="1062"/>
        </w:trPr>
        <w:tc>
          <w:tcPr>
            <w:tcW w:w="567" w:type="dxa"/>
            <w:vMerge/>
            <w:hideMark/>
          </w:tcPr>
          <w:p w14:paraId="33F86136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5AB6289C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1940DA44" w14:textId="77777777" w:rsidR="001B4BA0" w:rsidRPr="001B4BA0" w:rsidRDefault="001B4BA0" w:rsidP="00EA63FA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 xml:space="preserve"> 8. Общетоксическое действие, определяемое альтернативными методами in vitro </w:t>
            </w:r>
          </w:p>
        </w:tc>
        <w:tc>
          <w:tcPr>
            <w:tcW w:w="2778" w:type="dxa"/>
            <w:noWrap/>
            <w:hideMark/>
          </w:tcPr>
          <w:p w14:paraId="68022443" w14:textId="77777777" w:rsidR="001B4BA0" w:rsidRPr="001B4BA0" w:rsidRDefault="001B4BA0" w:rsidP="001B4BA0">
            <w:pPr>
              <w:spacing w:after="160"/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0" w:type="dxa"/>
            <w:noWrap/>
            <w:hideMark/>
          </w:tcPr>
          <w:p w14:paraId="35361C12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22D51D21" w14:textId="77777777" w:rsidTr="00EA63FA">
        <w:trPr>
          <w:gridAfter w:val="1"/>
          <w:wAfter w:w="12" w:type="dxa"/>
          <w:trHeight w:val="300"/>
        </w:trPr>
        <w:tc>
          <w:tcPr>
            <w:tcW w:w="567" w:type="dxa"/>
            <w:vMerge/>
            <w:hideMark/>
          </w:tcPr>
          <w:p w14:paraId="5B80809E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6BD3159F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1BF16801" w14:textId="1B62FB95" w:rsidR="001B4BA0" w:rsidRPr="001B4BA0" w:rsidRDefault="001B4BA0" w:rsidP="001B4BA0">
            <w:pPr>
              <w:spacing w:after="160"/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Микробиологические показатели безопасности:</w:t>
            </w:r>
            <w:r w:rsidRPr="001B4BA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778" w:type="dxa"/>
            <w:noWrap/>
            <w:hideMark/>
          </w:tcPr>
          <w:p w14:paraId="172FAFEE" w14:textId="77777777" w:rsidR="001B4BA0" w:rsidRPr="001B4BA0" w:rsidRDefault="001B4BA0" w:rsidP="001B4BA0">
            <w:pPr>
              <w:spacing w:after="160"/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B7CEE77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6484B6A1" w14:textId="77777777" w:rsidTr="00EA63FA">
        <w:trPr>
          <w:gridAfter w:val="1"/>
          <w:wAfter w:w="12" w:type="dxa"/>
          <w:trHeight w:val="1005"/>
        </w:trPr>
        <w:tc>
          <w:tcPr>
            <w:tcW w:w="567" w:type="dxa"/>
            <w:vMerge/>
            <w:hideMark/>
          </w:tcPr>
          <w:p w14:paraId="64CB42EB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64D31998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1189CF76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 xml:space="preserve">9. Общее количество мезофильных </w:t>
            </w:r>
            <w:r w:rsidRPr="001B4BA0">
              <w:rPr>
                <w:rFonts w:ascii="Times New Roman" w:hAnsi="Times New Roman" w:cs="Times New Roman"/>
              </w:rPr>
              <w:br/>
              <w:t>аэробных и факультативно-</w:t>
            </w:r>
            <w:r w:rsidRPr="001B4BA0">
              <w:rPr>
                <w:rFonts w:ascii="Times New Roman" w:hAnsi="Times New Roman" w:cs="Times New Roman"/>
              </w:rPr>
              <w:br/>
              <w:t>анаэробных микроорнизмов</w:t>
            </w:r>
          </w:p>
        </w:tc>
        <w:tc>
          <w:tcPr>
            <w:tcW w:w="2778" w:type="dxa"/>
            <w:noWrap/>
            <w:hideMark/>
          </w:tcPr>
          <w:p w14:paraId="6EE8A347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6DCCCA95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7BD02A11" w14:textId="77777777" w:rsidTr="00EA63FA">
        <w:trPr>
          <w:gridAfter w:val="1"/>
          <w:wAfter w:w="12" w:type="dxa"/>
          <w:trHeight w:val="315"/>
        </w:trPr>
        <w:tc>
          <w:tcPr>
            <w:tcW w:w="567" w:type="dxa"/>
            <w:vMerge/>
            <w:hideMark/>
          </w:tcPr>
          <w:p w14:paraId="525F2C1C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282BFE0C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3ABDDDF6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10. Candida albicans</w:t>
            </w:r>
          </w:p>
        </w:tc>
        <w:tc>
          <w:tcPr>
            <w:tcW w:w="2778" w:type="dxa"/>
            <w:noWrap/>
            <w:hideMark/>
          </w:tcPr>
          <w:p w14:paraId="20F90AC6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0D1F10B2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239BC0B7" w14:textId="77777777" w:rsidTr="00EA63FA">
        <w:trPr>
          <w:gridAfter w:val="1"/>
          <w:wAfter w:w="12" w:type="dxa"/>
          <w:trHeight w:val="285"/>
        </w:trPr>
        <w:tc>
          <w:tcPr>
            <w:tcW w:w="567" w:type="dxa"/>
            <w:vMerge/>
            <w:hideMark/>
          </w:tcPr>
          <w:p w14:paraId="7BEAD139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7A696C11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3963CBD3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11. Escherichia coli</w:t>
            </w:r>
          </w:p>
        </w:tc>
        <w:tc>
          <w:tcPr>
            <w:tcW w:w="2778" w:type="dxa"/>
            <w:noWrap/>
            <w:hideMark/>
          </w:tcPr>
          <w:p w14:paraId="448F3D09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62564E0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7A9767B4" w14:textId="77777777" w:rsidTr="00EA63FA">
        <w:trPr>
          <w:gridAfter w:val="1"/>
          <w:wAfter w:w="12" w:type="dxa"/>
          <w:trHeight w:val="345"/>
        </w:trPr>
        <w:tc>
          <w:tcPr>
            <w:tcW w:w="567" w:type="dxa"/>
            <w:vMerge/>
            <w:hideMark/>
          </w:tcPr>
          <w:p w14:paraId="293CF011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21D28FDF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25E633BB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12. Staphylococcus aureus</w:t>
            </w:r>
          </w:p>
        </w:tc>
        <w:tc>
          <w:tcPr>
            <w:tcW w:w="2778" w:type="dxa"/>
            <w:noWrap/>
            <w:hideMark/>
          </w:tcPr>
          <w:p w14:paraId="0B5B5EFC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4B57990D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00561BFA" w14:textId="77777777" w:rsidTr="00EA63FA">
        <w:trPr>
          <w:gridAfter w:val="1"/>
          <w:wAfter w:w="12" w:type="dxa"/>
          <w:trHeight w:val="315"/>
        </w:trPr>
        <w:tc>
          <w:tcPr>
            <w:tcW w:w="567" w:type="dxa"/>
            <w:vMerge/>
            <w:hideMark/>
          </w:tcPr>
          <w:p w14:paraId="1D725862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46B561F8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377C540A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13. Pseudomonas aeruginosа</w:t>
            </w:r>
          </w:p>
        </w:tc>
        <w:tc>
          <w:tcPr>
            <w:tcW w:w="2778" w:type="dxa"/>
            <w:noWrap/>
            <w:hideMark/>
          </w:tcPr>
          <w:p w14:paraId="37B0E185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7C875A6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39D4D75E" w14:textId="77777777" w:rsidTr="00EA63FA">
        <w:trPr>
          <w:gridAfter w:val="1"/>
          <w:wAfter w:w="12" w:type="dxa"/>
          <w:trHeight w:val="345"/>
        </w:trPr>
        <w:tc>
          <w:tcPr>
            <w:tcW w:w="567" w:type="dxa"/>
            <w:vMerge/>
            <w:hideMark/>
          </w:tcPr>
          <w:p w14:paraId="027C01EB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6A623B68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558E0558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Клинические показатели безопасности:</w:t>
            </w:r>
          </w:p>
        </w:tc>
        <w:tc>
          <w:tcPr>
            <w:tcW w:w="2778" w:type="dxa"/>
            <w:noWrap/>
            <w:hideMark/>
          </w:tcPr>
          <w:p w14:paraId="446FF58F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62C3AB4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75857E6F" w14:textId="77777777" w:rsidTr="00EA63FA">
        <w:trPr>
          <w:gridAfter w:val="1"/>
          <w:wAfter w:w="12" w:type="dxa"/>
          <w:trHeight w:val="285"/>
        </w:trPr>
        <w:tc>
          <w:tcPr>
            <w:tcW w:w="567" w:type="dxa"/>
            <w:vMerge/>
            <w:hideMark/>
          </w:tcPr>
          <w:p w14:paraId="35571208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685B916C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1BE6D83E" w14:textId="236D86CE" w:rsidR="001B4BA0" w:rsidRPr="001B4BA0" w:rsidRDefault="001B4BA0">
            <w:pPr>
              <w:rPr>
                <w:rFonts w:ascii="Times New Roman" w:hAnsi="Times New Roman" w:cs="Times New Roman"/>
                <w:lang w:val="ru-RU"/>
              </w:rPr>
            </w:pPr>
            <w:r w:rsidRPr="001B4BA0">
              <w:rPr>
                <w:rFonts w:ascii="Times New Roman" w:hAnsi="Times New Roman" w:cs="Times New Roman"/>
              </w:rPr>
              <w:t>14. Раздражающее действие</w:t>
            </w:r>
          </w:p>
        </w:tc>
        <w:tc>
          <w:tcPr>
            <w:tcW w:w="2778" w:type="dxa"/>
            <w:noWrap/>
            <w:hideMark/>
          </w:tcPr>
          <w:p w14:paraId="02028D9B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36FF26EF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2559A7C2" w14:textId="77777777" w:rsidTr="00EA63FA">
        <w:trPr>
          <w:gridAfter w:val="1"/>
          <w:wAfter w:w="12" w:type="dxa"/>
          <w:trHeight w:val="330"/>
        </w:trPr>
        <w:tc>
          <w:tcPr>
            <w:tcW w:w="567" w:type="dxa"/>
            <w:vMerge/>
            <w:hideMark/>
          </w:tcPr>
          <w:p w14:paraId="1D50507A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2D2C1E61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109642B6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 xml:space="preserve">15. Сенсибилизирующее действие </w:t>
            </w:r>
          </w:p>
        </w:tc>
        <w:tc>
          <w:tcPr>
            <w:tcW w:w="2778" w:type="dxa"/>
            <w:noWrap/>
            <w:hideMark/>
          </w:tcPr>
          <w:p w14:paraId="6F8A00ED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1C5288E0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05114F3D" w14:textId="77777777" w:rsidTr="00EA63FA">
        <w:trPr>
          <w:gridAfter w:val="1"/>
          <w:wAfter w:w="12" w:type="dxa"/>
          <w:trHeight w:val="300"/>
        </w:trPr>
        <w:tc>
          <w:tcPr>
            <w:tcW w:w="567" w:type="dxa"/>
            <w:vMerge/>
            <w:hideMark/>
          </w:tcPr>
          <w:p w14:paraId="7B8581A8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4BCC1579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6F609E24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16. Деминерализующее действие</w:t>
            </w:r>
          </w:p>
        </w:tc>
        <w:tc>
          <w:tcPr>
            <w:tcW w:w="2778" w:type="dxa"/>
            <w:noWrap/>
            <w:hideMark/>
          </w:tcPr>
          <w:p w14:paraId="689FCD74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  <w:r w:rsidRPr="001B4BA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0" w:type="dxa"/>
            <w:noWrap/>
            <w:hideMark/>
          </w:tcPr>
          <w:p w14:paraId="5599B714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1B4BA0" w:rsidRPr="001B4BA0" w14:paraId="349C64D8" w14:textId="77777777" w:rsidTr="00EA63FA">
        <w:trPr>
          <w:gridAfter w:val="1"/>
          <w:wAfter w:w="12" w:type="dxa"/>
          <w:trHeight w:val="360"/>
        </w:trPr>
        <w:tc>
          <w:tcPr>
            <w:tcW w:w="567" w:type="dxa"/>
            <w:vMerge/>
            <w:hideMark/>
          </w:tcPr>
          <w:p w14:paraId="041989E4" w14:textId="77777777" w:rsidR="001B4BA0" w:rsidRPr="001B4BA0" w:rsidRDefault="001B4B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hideMark/>
          </w:tcPr>
          <w:p w14:paraId="62CBA22E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92" w:type="dxa"/>
            <w:hideMark/>
          </w:tcPr>
          <w:p w14:paraId="39199AF3" w14:textId="77777777" w:rsidR="001B4BA0" w:rsidRPr="001B4BA0" w:rsidRDefault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Всего:    16</w:t>
            </w:r>
          </w:p>
        </w:tc>
        <w:tc>
          <w:tcPr>
            <w:tcW w:w="2778" w:type="dxa"/>
            <w:noWrap/>
            <w:hideMark/>
          </w:tcPr>
          <w:p w14:paraId="265A26C2" w14:textId="77777777" w:rsidR="001B4BA0" w:rsidRPr="001B4BA0" w:rsidRDefault="001B4BA0" w:rsidP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 xml:space="preserve">Всего:  </w:t>
            </w:r>
          </w:p>
        </w:tc>
        <w:tc>
          <w:tcPr>
            <w:tcW w:w="1660" w:type="dxa"/>
            <w:noWrap/>
            <w:hideMark/>
          </w:tcPr>
          <w:p w14:paraId="6B8DA914" w14:textId="77777777" w:rsidR="001B4BA0" w:rsidRPr="001B4BA0" w:rsidRDefault="001B4BA0" w:rsidP="001B4BA0">
            <w:pPr>
              <w:rPr>
                <w:rFonts w:ascii="Times New Roman" w:hAnsi="Times New Roman" w:cs="Times New Roman"/>
                <w:b/>
                <w:bCs/>
              </w:rPr>
            </w:pPr>
            <w:r w:rsidRPr="001B4BA0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</w:tr>
    </w:tbl>
    <w:p w14:paraId="0CB2A270" w14:textId="77777777" w:rsidR="00BD4EE5" w:rsidRPr="001B4BA0" w:rsidRDefault="00BD4EE5">
      <w:pPr>
        <w:rPr>
          <w:rFonts w:ascii="Times New Roman" w:hAnsi="Times New Roman" w:cs="Times New Roman"/>
        </w:rPr>
      </w:pPr>
    </w:p>
    <w:sectPr w:rsidR="00BD4EE5" w:rsidRPr="001B4BA0" w:rsidSect="00EA63FA">
      <w:headerReference w:type="default" r:id="rId6"/>
      <w:footerReference w:type="default" r:id="rId7"/>
      <w:pgSz w:w="11906" w:h="16838"/>
      <w:pgMar w:top="113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6D4C9" w14:textId="77777777" w:rsidR="00BA17A8" w:rsidRDefault="00BA17A8" w:rsidP="00BA17A8">
      <w:pPr>
        <w:spacing w:after="0" w:line="240" w:lineRule="auto"/>
      </w:pPr>
      <w:r>
        <w:separator/>
      </w:r>
    </w:p>
  </w:endnote>
  <w:endnote w:type="continuationSeparator" w:id="0">
    <w:p w14:paraId="5F4865AF" w14:textId="77777777" w:rsidR="00BA17A8" w:rsidRDefault="00BA17A8" w:rsidP="00BA1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0"/>
      <w:gridCol w:w="1798"/>
      <w:gridCol w:w="1978"/>
      <w:gridCol w:w="1980"/>
      <w:gridCol w:w="1979"/>
    </w:tblGrid>
    <w:tr w:rsidR="00BA17A8" w:rsidRPr="00BA17A8" w14:paraId="040D339B" w14:textId="77777777" w:rsidTr="00BA17A8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F7206C7" w14:textId="77777777" w:rsidR="00BA17A8" w:rsidRPr="00BA17A8" w:rsidRDefault="00BA17A8" w:rsidP="00BA17A8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BA17A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7AE659" w14:textId="6E52F4DA" w:rsidR="00BA17A8" w:rsidRPr="00BA17A8" w:rsidRDefault="00BA17A8" w:rsidP="00BA17A8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strike/>
              <w:color w:val="0000CC"/>
              <w:kern w:val="0"/>
              <w:sz w:val="20"/>
              <w:szCs w:val="20"/>
              <w:lang w:val="ky-KG" w:eastAsia="ru-RU"/>
              <w14:ligatures w14:val="none"/>
            </w:rPr>
          </w:pPr>
          <w:r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ky-KG" w:eastAsia="ru-RU"/>
              <w14:ligatures w14:val="none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9E3A6F1" w14:textId="77777777" w:rsidR="00BA17A8" w:rsidRPr="00BA17A8" w:rsidRDefault="00BA17A8" w:rsidP="00BA17A8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BA17A8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ky-KG" w:eastAsia="ru-RU"/>
              <w14:ligatures w14:val="none"/>
            </w:rPr>
            <w:t xml:space="preserve"> </w:t>
          </w:r>
          <w:r w:rsidRPr="00BA17A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Дата введения</w:t>
          </w:r>
          <w:r w:rsidRPr="00BA17A8">
            <w:rPr>
              <w:rFonts w:ascii="Times New Roman" w:eastAsia="Times New Roman" w:hAnsi="Times New Roman" w:cs="Times New Roman"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8857BF" w14:textId="77777777" w:rsidR="00BA17A8" w:rsidRPr="00BA17A8" w:rsidRDefault="00BA17A8" w:rsidP="00BA17A8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</w:pPr>
          <w:r w:rsidRPr="00BA17A8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01.</w:t>
          </w:r>
          <w:r w:rsidRPr="00BA17A8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en-US" w:eastAsia="ru-RU"/>
              <w14:ligatures w14:val="none"/>
            </w:rPr>
            <w:t>0</w:t>
          </w:r>
          <w:r w:rsidRPr="00BA17A8">
            <w:rPr>
              <w:rFonts w:ascii="Times New Roman" w:eastAsia="Times New Roman" w:hAnsi="Times New Roman" w:cs="Times New Roman"/>
              <w:bCs/>
              <w:color w:val="0000CC"/>
              <w:kern w:val="0"/>
              <w:sz w:val="20"/>
              <w:szCs w:val="20"/>
              <w:lang w:val="ru-RU" w:eastAsia="ru-RU"/>
              <w14:ligatures w14:val="none"/>
            </w:rPr>
            <w:t>4.2026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9B1F51" w14:textId="77777777" w:rsidR="00BA17A8" w:rsidRPr="00BA17A8" w:rsidRDefault="00BA17A8" w:rsidP="00BA17A8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</w:pPr>
          <w:r w:rsidRPr="00BA17A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Стр. </w:t>
          </w:r>
          <w:r w:rsidRPr="00BA17A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BA17A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PAGE </w:instrText>
          </w:r>
          <w:r w:rsidRPr="00BA17A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BA17A8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BA17A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BA17A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из </w:t>
          </w:r>
          <w:r w:rsidRPr="00BA17A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begin"/>
          </w:r>
          <w:r w:rsidRPr="00BA17A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instrText xml:space="preserve"> NUMPAGES </w:instrText>
          </w:r>
          <w:r w:rsidRPr="00BA17A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separate"/>
          </w:r>
          <w:r w:rsidRPr="00BA17A8">
            <w:rPr>
              <w:rFonts w:ascii="Times New Roman" w:eastAsia="Times New Roman" w:hAnsi="Times New Roman" w:cs="Times New Roman"/>
              <w:bCs/>
              <w:noProof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>16</w:t>
          </w:r>
          <w:r w:rsidRPr="00BA17A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fldChar w:fldCharType="end"/>
          </w:r>
          <w:r w:rsidRPr="00BA17A8">
            <w:rPr>
              <w:rFonts w:ascii="Times New Roman" w:eastAsia="Times New Roman" w:hAnsi="Times New Roman" w:cs="Times New Roman"/>
              <w:bCs/>
              <w:color w:val="000000"/>
              <w:kern w:val="0"/>
              <w:sz w:val="20"/>
              <w:szCs w:val="20"/>
              <w:lang w:val="ru-RU" w:eastAsia="ru-RU"/>
              <w14:ligatures w14:val="none"/>
            </w:rPr>
            <w:t xml:space="preserve">   </w:t>
          </w:r>
        </w:p>
      </w:tc>
    </w:tr>
  </w:tbl>
  <w:p w14:paraId="4CFF4616" w14:textId="77777777" w:rsidR="00BA17A8" w:rsidRDefault="00BA17A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38A76" w14:textId="77777777" w:rsidR="00BA17A8" w:rsidRDefault="00BA17A8" w:rsidP="00BA17A8">
      <w:pPr>
        <w:spacing w:after="0" w:line="240" w:lineRule="auto"/>
      </w:pPr>
      <w:r>
        <w:separator/>
      </w:r>
    </w:p>
  </w:footnote>
  <w:footnote w:type="continuationSeparator" w:id="0">
    <w:p w14:paraId="7C571B29" w14:textId="77777777" w:rsidR="00BA17A8" w:rsidRDefault="00BA17A8" w:rsidP="00BA1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9" w:type="dxa"/>
      <w:tblInd w:w="-856" w:type="dxa"/>
      <w:tblLook w:val="04A0" w:firstRow="1" w:lastRow="0" w:firstColumn="1" w:lastColumn="0" w:noHBand="0" w:noVBand="1"/>
    </w:tblPr>
    <w:tblGrid>
      <w:gridCol w:w="1459"/>
      <w:gridCol w:w="2236"/>
      <w:gridCol w:w="3569"/>
      <w:gridCol w:w="3295"/>
    </w:tblGrid>
    <w:tr w:rsidR="00EA63FA" w14:paraId="0235BFDC" w14:textId="77777777" w:rsidTr="008527E5">
      <w:trPr>
        <w:trHeight w:val="847"/>
      </w:trPr>
      <w:tc>
        <w:tcPr>
          <w:tcW w:w="14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56C77B33" w14:textId="77777777" w:rsidR="00EA63FA" w:rsidRDefault="00EA63FA" w:rsidP="00EA63FA">
          <w:pPr>
            <w:spacing w:after="0" w:line="240" w:lineRule="auto"/>
            <w:rPr>
              <w:rFonts w:ascii="Calibri" w:eastAsia="Times New Roman" w:hAnsi="Calibri" w:cs="Calibri"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30E0E05" wp14:editId="2D3CD161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4" name="Рисунок 4" descr="Описание: 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9" descr="Описание: 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DCE2DE4" w14:textId="77777777" w:rsidR="00EA63FA" w:rsidRDefault="00EA63FA" w:rsidP="00EA63F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 xml:space="preserve">Кыргызский центр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noWrap/>
          <w:vAlign w:val="center"/>
          <w:hideMark/>
        </w:tcPr>
        <w:p w14:paraId="29C35FEB" w14:textId="77777777" w:rsidR="00EA63FA" w:rsidRDefault="00EA63FA" w:rsidP="00EA63F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Формы  паспорта  ИЛ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:lang w:val="ky-KG"/>
              <w14:ligatures w14:val="none"/>
            </w:rPr>
            <w:t>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74376EA" w14:textId="77777777" w:rsidR="00EA63FA" w:rsidRDefault="00EA63FA" w:rsidP="00EA63F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00000"/>
              <w:kern w:val="0"/>
              <w:sz w:val="22"/>
              <w:szCs w:val="22"/>
              <w14:ligatures w14:val="none"/>
            </w:rPr>
            <w:t>Ф.КЦА-ПА1ООС.Д.1</w:t>
          </w:r>
        </w:p>
      </w:tc>
    </w:tr>
  </w:tbl>
  <w:p w14:paraId="662DE127" w14:textId="77777777" w:rsidR="00BA17A8" w:rsidRDefault="00BA17A8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D96"/>
    <w:rsid w:val="000D0D96"/>
    <w:rsid w:val="001B4BA0"/>
    <w:rsid w:val="006B6765"/>
    <w:rsid w:val="008055AD"/>
    <w:rsid w:val="00930292"/>
    <w:rsid w:val="00984089"/>
    <w:rsid w:val="00A200AB"/>
    <w:rsid w:val="00BA17A8"/>
    <w:rsid w:val="00BD4EE5"/>
    <w:rsid w:val="00EA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64F3"/>
  <w15:chartTrackingRefBased/>
  <w15:docId w15:val="{B7C8525D-17D6-4E92-B0E6-0058AAB52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0D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0D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0D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0D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0D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0D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0D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0D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0D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D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D0D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D0D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D0D9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D0D9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D0D9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D0D9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D0D9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D0D9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D0D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D0D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0D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D0D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D0D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D0D9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D0D9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D0D9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D0D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D0D9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D0D96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1B4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BA1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A17A8"/>
  </w:style>
  <w:style w:type="paragraph" w:styleId="af">
    <w:name w:val="footer"/>
    <w:basedOn w:val="a"/>
    <w:link w:val="af0"/>
    <w:uiPriority w:val="99"/>
    <w:unhideWhenUsed/>
    <w:rsid w:val="00BA1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A17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6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Ermek</dc:creator>
  <cp:keywords/>
  <dc:description/>
  <cp:lastModifiedBy>Madina</cp:lastModifiedBy>
  <cp:revision>4</cp:revision>
  <dcterms:created xsi:type="dcterms:W3CDTF">2026-01-26T09:34:00Z</dcterms:created>
  <dcterms:modified xsi:type="dcterms:W3CDTF">2026-03-06T16:14:00Z</dcterms:modified>
</cp:coreProperties>
</file>